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905000" cy="1428750"/>
                    </a:xfrm>
                    <a:prstGeom prst="rect">
                      <a:avLst/>
                    </a:prstGeom>
                  </pic:spPr>
                </pic:pic>
              </a:graphicData>
            </a:graphic>
          </wp:inline>
        </w:drawing>
      </w:r>
    </w:p>
    <w:p>
      <w:pPr>
        <w:pStyle w:val="Title"/>
        <w:spacing w:after="200"/>
        <w:jc w:val="center"/>
      </w:pPr>
      <w:r>
        <w:t xml:space="preserve">ACTA DE ASAMBLEA ORDINARIA - EDIFICIO MARINA W</w:t>
      </w:r>
    </w:p>
    <w:p>
      <w:pPr>
        <w:spacing w:after="120"/>
      </w:pPr>
      <w:r>
        <w:t xml:space="preserve">Jueves 18 de Junio de 2026</w:t>
      </w:r>
    </w:p>
    <w:p>
      <w:pPr>
        <w:spacing w:after="120"/>
      </w:pPr>
    </w:p>
    <w:p>
      <w:pPr>
        <w:spacing w:after="120"/>
      </w:pPr>
      <w:r>
        <w:t xml:space="preserve">Los Sres. Copropietarios del Edificio "MARINA W" reunidos en la Asamblea Ordinaria, realizada el jueves 18 de JUNIO de 2026 a las 20 horas, en primera citación y a las 20.30 horas en segunda, realizada presencialmente en la barbacoa del Edificio siendo los asistentes las siguientes personas:</w:t>
      </w:r>
    </w:p>
    <w:p>
      <w:pPr>
        <w:spacing w:after="120"/>
      </w:pPr>
    </w:p>
    <w:p>
      <w:pPr>
        <w:pStyle w:val="Heading1"/>
        <w:spacing w:after="100" w:before="200"/>
      </w:pPr>
      <w:r>
        <w:t xml:space="preserve">ASISTENTES</w:t>
      </w:r>
    </w:p>
    <w:p>
      <w:pPr>
        <w:spacing w:after="80"/>
        <w:ind w:left="720"/>
      </w:pPr>
      <w:r>
        <w:t xml:space="preserve">• 102P - Maruxa Bernet</w:t>
      </w:r>
    </w:p>
    <w:p>
      <w:pPr>
        <w:spacing w:after="80"/>
        <w:ind w:left="720"/>
      </w:pPr>
      <w:r>
        <w:t xml:space="preserve">• 103P - Juan María Massa</w:t>
      </w:r>
    </w:p>
    <w:p>
      <w:pPr>
        <w:spacing w:after="80"/>
        <w:ind w:left="720"/>
      </w:pPr>
      <w:r>
        <w:t xml:space="preserve">• 201P - Mónica Graniello</w:t>
      </w:r>
    </w:p>
    <w:p>
      <w:pPr>
        <w:spacing w:after="80"/>
        <w:ind w:left="720"/>
      </w:pPr>
      <w:r>
        <w:t xml:space="preserve">• 203P - Alba Sica</w:t>
      </w:r>
    </w:p>
    <w:p>
      <w:pPr>
        <w:spacing w:after="80"/>
        <w:ind w:left="720"/>
      </w:pPr>
      <w:r>
        <w:t xml:space="preserve">• 301P - Javier Hernandez</w:t>
      </w:r>
    </w:p>
    <w:p>
      <w:pPr>
        <w:spacing w:after="80"/>
        <w:ind w:left="720"/>
      </w:pPr>
      <w:r>
        <w:t xml:space="preserve">• 601P - Maria Cecilia Hernandez (con poder)</w:t>
      </w:r>
    </w:p>
    <w:p>
      <w:pPr>
        <w:spacing w:after="80"/>
        <w:ind w:left="720"/>
      </w:pPr>
      <w:r>
        <w:t xml:space="preserve">• 604P - Miriam Apariquian (con poder)</w:t>
      </w:r>
    </w:p>
    <w:p>
      <w:pPr>
        <w:spacing w:after="80"/>
        <w:ind w:left="720"/>
      </w:pPr>
      <w:r>
        <w:t xml:space="preserve">• 701P - Juan Pablo Jaume</w:t>
      </w:r>
    </w:p>
    <w:p>
      <w:pPr>
        <w:spacing w:after="80"/>
        <w:ind w:left="720"/>
      </w:pPr>
      <w:r>
        <w:t xml:space="preserve">• 704P - Miriam Apariquian (con poder)</w:t>
      </w:r>
    </w:p>
    <w:p>
      <w:pPr>
        <w:spacing w:after="80"/>
        <w:ind w:left="720"/>
      </w:pPr>
      <w:r>
        <w:t xml:space="preserve">• 802P - Mary Isabel Díaz Silveira</w:t>
      </w:r>
    </w:p>
    <w:p>
      <w:pPr>
        <w:spacing w:after="80"/>
        <w:ind w:left="720"/>
      </w:pPr>
      <w:r>
        <w:t xml:space="preserve">• 804P - Miriam Apariquian (con poder)</w:t>
      </w:r>
    </w:p>
    <w:p>
      <w:pPr>
        <w:spacing w:after="80"/>
        <w:ind w:left="720"/>
      </w:pPr>
      <w:r>
        <w:t xml:space="preserve">• 901P - María Asunción Alvarez (con poder)</w:t>
      </w:r>
    </w:p>
    <w:p>
      <w:pPr>
        <w:spacing w:after="120"/>
      </w:pPr>
      <w:r>
        <w:t xml:space="preserve">Total: 12 unidades representadas</w:t>
      </w:r>
    </w:p>
    <w:p>
      <w:pPr>
        <w:spacing w:after="120"/>
      </w:pPr>
    </w:p>
    <w:p>
      <w:pPr>
        <w:pStyle w:val="Heading1"/>
        <w:spacing w:after="100" w:before="200"/>
      </w:pPr>
      <w:r>
        <w:t xml:space="preserve">1. RENDICIÓN DE CUENTAS - EJERCICIO 2025</w:t>
      </w:r>
    </w:p>
    <w:p>
      <w:pPr>
        <w:spacing w:after="120"/>
      </w:pPr>
      <w:r>
        <w:t xml:space="preserve">La administración presentó a los asambleístas la rendición de cuentas por el periodo 01/01/2025 al 31/12/2025.</w:t>
      </w:r>
    </w:p>
    <w:p>
      <w:pPr>
        <w:spacing w:after="120"/>
      </w:pPr>
      <w:r>
        <w:t xml:space="preserve">Resolución: Aprobada por Unanimidad.</w:t>
      </w:r>
    </w:p>
    <w:p>
      <w:pPr>
        <w:spacing w:after="120"/>
      </w:pPr>
    </w:p>
    <w:p>
      <w:pPr>
        <w:pStyle w:val="Heading1"/>
        <w:spacing w:after="100" w:before="200"/>
      </w:pPr>
      <w:r>
        <w:t xml:space="preserve">2. INFORME DE LA COMISIÓN ACTUAL</w:t>
      </w:r>
    </w:p>
    <w:p>
      <w:pPr>
        <w:spacing w:after="120"/>
      </w:pPr>
      <w:r>
        <w:t xml:space="preserve">Durante el período 2025, el edificio no solo mantuvo sus operaciones rutinarias, sino que ejecutó una inversión histórica de más de $540.000 con el Fondo de Mantenimiento. Se logró la Habilitación de Bomberos (un trámite crítico y costoso de $156.379), se renovó la seguridad con lectores faciales, video porteros y cámaras (más de $212.002 en tecnología), se trabajó en la instalación eléctrica y pintura, y se mantuvo la seguridad pasiva con los extintores. Por otro lado, con el Fondo de Barbacoa se utilizó $77.770,66 para mejorar las instalaciones, aumentando su capacidad con nuevas mesas y sillas, adquiriendo además un freezer de alta capacidad. Ambos fondos cierran el año con un saldo positivo y disponible de $251.359,81.</w:t>
      </w:r>
    </w:p>
    <w:p>
      <w:pPr>
        <w:spacing w:after="120"/>
      </w:pPr>
    </w:p>
    <w:p>
      <w:pPr>
        <w:pStyle w:val="Heading1"/>
        <w:spacing w:after="100" w:before="200"/>
      </w:pPr>
      <w:r>
        <w:t xml:space="preserve">3. ELECCIÓN DE AUTORIDADES DEL EDIFICIO</w:t>
      </w:r>
    </w:p>
    <w:p>
      <w:pPr>
        <w:spacing w:after="120"/>
      </w:pPr>
      <w:r>
        <w:t xml:space="preserve">La comisión Directiva del edificio quedó compuesta de la siguiente forma:</w:t>
      </w:r>
    </w:p>
    <w:p>
      <w:pPr>
        <w:spacing w:after="80"/>
        <w:ind w:left="720"/>
      </w:pPr>
      <w:r>
        <w:t xml:space="preserve">• Presidente: Javier Hernandez – Unidad 301</w:t>
      </w:r>
    </w:p>
    <w:p>
      <w:pPr>
        <w:spacing w:after="80"/>
        <w:ind w:left="720"/>
      </w:pPr>
      <w:r>
        <w:t xml:space="preserve">• Vicepresidente: Juan Massa – Unidad 103</w:t>
      </w:r>
    </w:p>
    <w:p>
      <w:pPr>
        <w:spacing w:after="80"/>
        <w:ind w:left="720"/>
      </w:pPr>
      <w:r>
        <w:t xml:space="preserve">• Vocal: Maruxa Bernet – Unidad 102</w:t>
      </w:r>
    </w:p>
    <w:p>
      <w:pPr>
        <w:spacing w:after="80"/>
        <w:ind w:left="720"/>
      </w:pPr>
      <w:r>
        <w:t xml:space="preserve">• Comisión Extendida (vocales): Mónica Graniello (201), Alba Sica (203), Santiago Fernandez (604, 704, 804), Juan Pablo Jaume (701), Mary Isabel Diaz Silveira (802), Laura Fernandez (901)</w:t>
      </w:r>
    </w:p>
    <w:p>
      <w:pPr>
        <w:spacing w:after="120"/>
      </w:pPr>
      <w:r>
        <w:t xml:space="preserve">La administración Baluarte SAS queda ratificada en sus funciones. Ambas autoridades quedan aprobadas por un año más hasta junio del 2027, según el artículo decimosexto del Reglamento de Copropiedad.</w:t>
      </w:r>
    </w:p>
    <w:p>
      <w:pPr>
        <w:spacing w:after="120"/>
      </w:pPr>
    </w:p>
    <w:p>
      <w:pPr>
        <w:pStyle w:val="Heading1"/>
        <w:spacing w:after="100" w:before="200"/>
      </w:pPr>
      <w:r>
        <w:t xml:space="preserve">4. MODIFICACIÓN DEL REGLAMENTO INTERNO VIGENTE</w:t>
      </w:r>
    </w:p>
    <w:p>
      <w:pPr>
        <w:pStyle w:val="Heading2"/>
        <w:spacing w:after="80" w:before="150"/>
      </w:pPr>
      <w:r>
        <w:t xml:space="preserve">4.1 ARTÍCULO 4.3 - ALQUILER DE GARAJES A EXTERNOS</w:t>
      </w:r>
    </w:p>
    <w:p>
      <w:pPr>
        <w:spacing w:after="120"/>
      </w:pPr>
      <w:r>
        <w:t xml:space="preserve">Los propietarios de garajes podrán alquilarlos a personas externas al edificio, siempre que se cumplan las siguientes condiciones:</w:t>
      </w:r>
    </w:p>
    <w:p>
      <w:pPr>
        <w:spacing w:after="80"/>
        <w:ind w:left="720"/>
      </w:pPr>
      <w:r>
        <w:t xml:space="preserve">• a) Se deberá firmar un contrato de alquiler con todos los datos del arrendatario, vigencia y responsabilidades.</w:t>
      </w:r>
    </w:p>
    <w:p>
      <w:pPr>
        <w:spacing w:after="80"/>
        <w:ind w:left="720"/>
      </w:pPr>
      <w:r>
        <w:t xml:space="preserve">• b) El contrato deberá ser registrado en la administración (admin@edificiomarinaw.com).</w:t>
      </w:r>
    </w:p>
    <w:p>
      <w:pPr>
        <w:spacing w:after="80"/>
        <w:ind w:left="720"/>
      </w:pPr>
      <w:r>
        <w:t xml:space="preserve">• c) AVISO PREVIO OBLIGATORIO DE 10 DÍAS: Antes de alquilar a un externo, el propietario/residente DEBE avisar con 10 días hábiles de anticipación mediante publicación en WhatsApp y envío de email a admin@edificiomarinaw.com y administración@baluarte.com.uy</w:t>
      </w:r>
    </w:p>
    <w:p>
      <w:pPr>
        <w:spacing w:after="80"/>
        <w:ind w:left="720"/>
      </w:pPr>
      <w:r>
        <w:t xml:space="preserve">• d) El arrendatario externo deberá aceptar y cumplir el presente reglamento interno.</w:t>
      </w:r>
    </w:p>
    <w:p>
      <w:pPr>
        <w:spacing w:after="80"/>
        <w:ind w:left="720"/>
      </w:pPr>
      <w:r>
        <w:t xml:space="preserve">• e) El propietario será solidariamente responsable de cualquier incumplimiento.</w:t>
      </w:r>
    </w:p>
    <w:p>
      <w:pPr>
        <w:spacing w:after="80"/>
        <w:ind w:left="720"/>
      </w:pPr>
      <w:r>
        <w:t xml:space="preserve">• f) Multa de 5 UR mensuales si no se incluye la aceptación del Art. 15.2.3.</w:t>
      </w:r>
    </w:p>
    <w:p>
      <w:pPr>
        <w:spacing w:after="80"/>
        <w:ind w:left="720"/>
      </w:pPr>
      <w:r>
        <w:t xml:space="preserve">• g) Si el inquilino del apartamento pretende subarrendar el garaje deberá presentar la autorización del propietario. La vigencia del contrato de alquiler del garaje no podrá exceder el tiempo restante del contrato de arrendamiento del apartamento al que pertenece el garaje.</w:t>
      </w:r>
    </w:p>
    <w:p>
      <w:pPr>
        <w:spacing w:after="120"/>
      </w:pPr>
      <w:r>
        <w:t xml:space="preserve">Votado por unanimidad, disposición no retroactiva.</w:t>
      </w:r>
    </w:p>
    <w:p>
      <w:pPr>
        <w:spacing w:after="120"/>
      </w:pPr>
    </w:p>
    <w:p>
      <w:pPr>
        <w:pStyle w:val="Heading2"/>
        <w:spacing w:after="80" w:before="150"/>
      </w:pPr>
      <w:r>
        <w:t xml:space="preserve">4.2 ARTÍCULO 4.4 - CONTROL DE ACCESO Y VIDEOPORTERO</w:t>
      </w:r>
    </w:p>
    <w:p>
      <w:pPr>
        <w:spacing w:after="120"/>
      </w:pPr>
      <w:r>
        <w:t xml:space="preserve">El edificio cuenta con sistema de control de acceso y video portero que permite a los residentes abrir la puerta de entrada desde sus dispositivos móviles (celular).</w:t>
      </w:r>
    </w:p>
    <w:p>
      <w:pPr>
        <w:spacing w:after="120"/>
      </w:pPr>
      <w:r>
        <w:t xml:space="preserve">RESPONSABILIDAD DEL RESIDENTE:</w:t>
      </w:r>
    </w:p>
    <w:p>
      <w:pPr>
        <w:spacing w:after="80"/>
        <w:ind w:left="720"/>
      </w:pPr>
      <w:r>
        <w:t xml:space="preserve">• a) Cada residente es responsable de verificar que la puerta quede correctamente cerrada después de abrirla desde su celular o video portero.</w:t>
      </w:r>
    </w:p>
    <w:p>
      <w:pPr>
        <w:spacing w:after="80"/>
        <w:ind w:left="720"/>
      </w:pPr>
      <w:r>
        <w:t xml:space="preserve">• b) Dejar la puerta abierta intencionalmente o por negligencia tras apertura remota se considerará falta grave.</w:t>
      </w:r>
    </w:p>
    <w:p>
      <w:pPr>
        <w:spacing w:after="80"/>
        <w:ind w:left="720"/>
      </w:pPr>
      <w:r>
        <w:t xml:space="preserve">• c) Apagar o desactivar la chicharra/alarma de la puerta de entrada se considerará falta grave.</w:t>
      </w:r>
    </w:p>
    <w:p>
      <w:pPr>
        <w:spacing w:after="120"/>
      </w:pPr>
      <w:r>
        <w:t xml:space="preserve">SANCIÓN APLICABLE: Multa de 2 UR (falta grave) a todo residente que deje la puerta abierta, apague la alarma o no verifique el cierre correcto.</w:t>
      </w:r>
    </w:p>
    <w:p>
      <w:pPr>
        <w:spacing w:after="120"/>
      </w:pPr>
      <w:r>
        <w:t xml:space="preserve">Votado por unanimidad.</w:t>
      </w:r>
    </w:p>
    <w:p>
      <w:pPr>
        <w:spacing w:after="120"/>
      </w:pPr>
    </w:p>
    <w:p>
      <w:pPr>
        <w:pStyle w:val="Heading2"/>
        <w:spacing w:after="80" w:before="150"/>
      </w:pPr>
      <w:r>
        <w:t xml:space="preserve">4.3 ARTÍCULO 6.4 - ESTACIONAMIENTOS USO Y BOX METÁLICO</w:t>
      </w:r>
    </w:p>
    <w:p>
      <w:pPr>
        <w:spacing w:after="120"/>
      </w:pPr>
      <w:r>
        <w:t xml:space="preserve">Los espacios de estacionamiento deberán ser utilizados principalmente para el parqueo de vehículos de propietarios e inquilinos.</w:t>
      </w:r>
    </w:p>
    <w:p>
      <w:pPr>
        <w:spacing w:after="120"/>
      </w:pPr>
      <w:r>
        <w:t xml:space="preserve">PERMISO DE ALMACENAMIENTO CON BOX METÁLICO: Se permite la colocación de un (1) box metálico de almacenamiento por cada cochera asignada, siempre que se cumplan las siguientes condiciones:</w:t>
      </w:r>
    </w:p>
    <w:p>
      <w:pPr>
        <w:spacing w:after="80"/>
        <w:ind w:left="720"/>
      </w:pPr>
      <w:r>
        <w:t xml:space="preserve">• a) El box no podrá superar las dimensiones delimitadas por las líneas amarillas de la cochera.</w:t>
      </w:r>
    </w:p>
    <w:p>
      <w:pPr>
        <w:spacing w:after="80"/>
        <w:ind w:left="720"/>
      </w:pPr>
      <w:r>
        <w:t xml:space="preserve">• b) No podrá obstruir el paso peatonal ni la apertura de puertas de vehículos vecinos.</w:t>
      </w:r>
    </w:p>
    <w:p>
      <w:pPr>
        <w:spacing w:after="80"/>
        <w:ind w:left="720"/>
      </w:pPr>
      <w:r>
        <w:t xml:space="preserve">• c) Deberá cumplir con normas básicas de seguridad contra incendios y estética del edificio.</w:t>
      </w:r>
    </w:p>
    <w:p>
      <w:pPr>
        <w:spacing w:after="80"/>
        <w:ind w:left="720"/>
      </w:pPr>
      <w:r>
        <w:t xml:space="preserve">• d) Queda prohibido depositar materiales inflamables, peligrosos, o que generen olores molestos.</w:t>
      </w:r>
    </w:p>
    <w:p>
      <w:pPr>
        <w:spacing w:after="80"/>
        <w:ind w:left="720"/>
      </w:pPr>
      <w:r>
        <w:t xml:space="preserve">• e) El box deberá ser de material metálico, con cerradura de seguridad, y de color neutro (gris).</w:t>
      </w:r>
    </w:p>
    <w:p>
      <w:pPr>
        <w:spacing w:after="80"/>
        <w:ind w:left="720"/>
      </w:pPr>
      <w:r>
        <w:t xml:space="preserve">• f) La Comisión Administradora podrá inspeccionar los boxes para verificar el cumplimiento.</w:t>
      </w:r>
    </w:p>
    <w:p>
      <w:pPr>
        <w:spacing w:after="120"/>
      </w:pPr>
      <w:r>
        <w:t xml:space="preserve">Votado por unanimidad.</w:t>
      </w:r>
    </w:p>
    <w:p>
      <w:pPr>
        <w:spacing w:after="120"/>
      </w:pPr>
    </w:p>
    <w:p>
      <w:pPr>
        <w:pStyle w:val="Heading2"/>
        <w:spacing w:after="80" w:before="150"/>
      </w:pPr>
      <w:r>
        <w:t xml:space="preserve">4.4 ARTÍCULO 6.8 - INSTALACIÓN DE ENCHUFES PARA CARGA DE VEHÍCULOS ELÉCTRICOS</w:t>
      </w:r>
    </w:p>
    <w:p>
      <w:pPr>
        <w:spacing w:after="120"/>
      </w:pPr>
      <w:r>
        <w:t xml:space="preserve">Se autoriza a los propietarios a instalar puntos de carga (enchufes tipo 2, wallbox o similares) para vehículos eléctricos o híbridos en sus plazas de garaje asignadas, previa presentación y aprobación de memoria técnica por la Comisión Administradora.</w:t>
      </w:r>
    </w:p>
    <w:p>
      <w:pPr>
        <w:spacing w:after="120"/>
      </w:pPr>
      <w:r>
        <w:t xml:space="preserve">CONDICIONES OBLIGATORIAS:</w:t>
      </w:r>
    </w:p>
    <w:p>
      <w:pPr>
        <w:spacing w:after="80"/>
        <w:ind w:left="720"/>
      </w:pPr>
      <w:r>
        <w:t xml:space="preserve">• a) Memoria Técnica Previa: Antes de iniciar cualquier trabajo, el propietario deberá presentar a la Comisión una memoria descriptiva que incluya: planos unifilares, especificaciones técnicas del equipo, datos del electricista matriculado, y cálculo de carga eléctrica.</w:t>
      </w:r>
    </w:p>
    <w:p>
      <w:pPr>
        <w:spacing w:after="80"/>
        <w:ind w:left="720"/>
      </w:pPr>
      <w:r>
        <w:t xml:space="preserve">• b) Aprobación: La Comisión tendrá un plazo máximo de 15 días hábiles para aprobar o solicitar modificaciones.</w:t>
      </w:r>
    </w:p>
    <w:p>
      <w:pPr>
        <w:spacing w:after="80"/>
        <w:ind w:left="720"/>
      </w:pPr>
      <w:r>
        <w:t xml:space="preserve">• c) Ejecución Profesional: La instalación deberá ser realizada exclusivamente por un electricista matriculado, cumpliendo con la normativa de UTE.</w:t>
      </w:r>
    </w:p>
    <w:p>
      <w:pPr>
        <w:spacing w:after="80"/>
        <w:ind w:left="720"/>
      </w:pPr>
      <w:r>
        <w:t xml:space="preserve">• d) Red y Consumo: La instalación no podrá afectar la red eléctrica común ni la estética del garaje.</w:t>
      </w:r>
    </w:p>
    <w:p>
      <w:pPr>
        <w:spacing w:after="80"/>
        <w:ind w:left="720"/>
      </w:pPr>
      <w:r>
        <w:t xml:space="preserve">• e) COSTO EXCLUSIVO DEL INTERESADO: Todos los costos de instalación, mantenimiento, consumo eléctrico y eventuales reparaciones serán de exclusiva responsabilidad del propietario interesado.</w:t>
      </w:r>
    </w:p>
    <w:p>
      <w:pPr>
        <w:spacing w:after="80"/>
        <w:ind w:left="720"/>
      </w:pPr>
      <w:r>
        <w:t xml:space="preserve">• f) Seguro: El propietario deberá mantener un seguro de responsabilidad civil que cubra daños derivados de la instalación eléctrica.</w:t>
      </w:r>
    </w:p>
    <w:p>
      <w:pPr>
        <w:spacing w:after="80"/>
        <w:ind w:left="720"/>
      </w:pPr>
      <w:r>
        <w:t xml:space="preserve">• g) Registro: La Comisión llevará un registro actualizado de todas las instalaciones autorizadas.</w:t>
      </w:r>
    </w:p>
    <w:p>
      <w:pPr>
        <w:spacing w:after="80"/>
        <w:ind w:left="720"/>
      </w:pPr>
      <w:r>
        <w:t xml:space="preserve">• h) Responsabilidad: El propietario será el único responsable por cualquier daño, siniestro o perjuicio que se derive de la instalación.</w:t>
      </w:r>
    </w:p>
    <w:p>
      <w:pPr>
        <w:spacing w:after="80"/>
        <w:ind w:left="720"/>
      </w:pPr>
      <w:r>
        <w:t xml:space="preserve">• i) Solo se habilitará la instalación de 6 tramos de cañería galvanizada en la cual conduzca cables para 5 lugares de estacionamiento ya prefijadas.</w:t>
      </w:r>
    </w:p>
    <w:p>
      <w:pPr>
        <w:spacing w:after="120"/>
      </w:pPr>
      <w:r>
        <w:t xml:space="preserve">Votado por unanimidad.</w:t>
      </w:r>
    </w:p>
    <w:p>
      <w:pPr>
        <w:spacing w:after="120"/>
      </w:pPr>
    </w:p>
    <w:p>
      <w:pPr>
        <w:pStyle w:val="Heading2"/>
        <w:spacing w:after="80" w:before="150"/>
      </w:pPr>
      <w:r>
        <w:t xml:space="preserve">4.5 ARTÍCULO 10.2 - RUIDOS MOLESTOS - PROCEDIMIENTO Y SANCIONES</w:t>
      </w:r>
    </w:p>
    <w:p>
      <w:pPr>
        <w:spacing w:after="120"/>
      </w:pPr>
      <w:r>
        <w:t xml:space="preserve">Se prohíbe generar ruidos molestos que perturben la tranquilidad y convivencia del edificio.</w:t>
      </w:r>
    </w:p>
    <w:p>
      <w:pPr>
        <w:spacing w:after="120"/>
      </w:pPr>
      <w:r>
        <w:t xml:space="preserve">RUIDOS ESPECÍFICAMENTE PROHIBIDOS: Reuniones numerosas con música o baile a volumen excesivo, Cantar o tocar instrumentos musicales en horarios no permitidos, Movimientos de mobiliarios sin protección, Ladridos, maullidos y otros ruidos de animales sostenidos, Uso de herramientas eléctricas en horarios no permitidos, Televisores, equipos de sonido o parlantes a volumen excesivo, Gritos, discusiones o peleas audibles en unidades vecinas, Portazos repetidos, arrastrar muebles sin protección.</w:t>
      </w:r>
    </w:p>
    <w:p>
      <w:pPr>
        <w:spacing w:after="120"/>
      </w:pPr>
      <w:r>
        <w:t xml:space="preserve">EXCEPCIONES Y SENTIDO COMÚN: Ocasiones especiales (cumpleaños, fin de año): Flexibilidad hasta 03:00. Avisar a vecinos con anticipación cuando sea posible. Ruidos normales de vida (caminar, hablar, cocinar) nunca son sancionables. Bebés llorando, niños jugando en horarios normales: tolerancia razonable.</w:t>
      </w:r>
    </w:p>
    <w:p>
      <w:pPr>
        <w:spacing w:after="120"/>
      </w:pPr>
      <w:r>
        <w:t xml:space="preserve">PROCEDIMIENTO DE DENUNCIA: 1. Denuncia por escrito a la Comisión (admin@edificiomarinaw.com y administración@baluarte.com.uy) Se requieren 2 unidades afectadas. 2. La Comisión notifica al presunto infractor en 48 horas. 3. Plazo de 5 días hábiles para presentar descargos. 4. Resolución fundamentada por la Comisión. 5. Si hay sanción, se agrega a gastos comunes.</w:t>
      </w:r>
    </w:p>
    <w:p>
      <w:pPr>
        <w:spacing w:after="120"/>
      </w:pPr>
      <w:r>
        <w:t xml:space="preserve">PRUEBAS ACEPTADAS: Denuncia escrita firmada por al menos 2 unidades afectadas, Registro de audio/video con teléfono (fecha/hora visibles), Acta de constatación firmada por la Comisión.</w:t>
      </w:r>
    </w:p>
    <w:p>
      <w:pPr>
        <w:spacing w:after="120"/>
      </w:pPr>
      <w:r>
        <w:t xml:space="preserve">ESCALA DE SANCIONES: 1ra denuncia verificada: Amonestación escrita. 2da denuncia: Multa de 1 UR. 3ra denuncia: Multa de 3 UR. Reincidencia grave: 5 UR.</w:t>
      </w:r>
    </w:p>
    <w:p>
      <w:pPr>
        <w:spacing w:after="120"/>
      </w:pPr>
      <w:r>
        <w:t xml:space="preserve">Votado por unanimidad.</w:t>
      </w:r>
    </w:p>
    <w:p>
      <w:pPr>
        <w:spacing w:after="120"/>
      </w:pPr>
    </w:p>
    <w:p>
      <w:pPr>
        <w:pStyle w:val="Heading2"/>
        <w:spacing w:after="80" w:before="150"/>
      </w:pPr>
      <w:r>
        <w:t xml:space="preserve">4.6 ARTÍCULO 11 - BARBACOA - PRECIO Y AJUSTE POR LA COMISIÓN</w:t>
      </w:r>
    </w:p>
    <w:p>
      <w:pPr>
        <w:spacing w:after="120"/>
      </w:pPr>
      <w:r>
        <w:t xml:space="preserve">PRECIO BASE: 1,3 UR (sin leña). Esto será directamente imputado a los Gastos Comunes del usuario.</w:t>
      </w:r>
    </w:p>
    <w:p>
      <w:pPr>
        <w:spacing w:after="120"/>
      </w:pPr>
      <w:r>
        <w:t xml:space="preserve">AJUSTES DE PRECIO POR LA COMISIÓN: La Comisión Administradora podrá ajustar el precio según época del año. Se diferenciará periodo de alta o zafra (los meses de noviembre y diciembre) manteniéndose en 1.3 UR. El resto del año, el precio se bajará a juicio de la comisión según costos, demanda y disponibilidad. Cualquier ajuste se comunicará el último día hábil de cada mes por email, WhatsApp y cartel en ascensor.</w:t>
      </w:r>
    </w:p>
    <w:p>
      <w:pPr>
        <w:spacing w:after="120"/>
      </w:pPr>
      <w:r>
        <w:t xml:space="preserve">Votado por unanimidad.</w:t>
      </w:r>
    </w:p>
    <w:p>
      <w:pPr>
        <w:spacing w:after="120"/>
      </w:pPr>
    </w:p>
    <w:p>
      <w:pPr>
        <w:pStyle w:val="Heading2"/>
        <w:spacing w:after="80" w:before="150"/>
      </w:pPr>
      <w:r>
        <w:t xml:space="preserve">4.7 ARTÍCULO 11.16 - SORTEOS MENSUALES DE BENEFICIOS</w:t>
      </w:r>
    </w:p>
    <w:p>
      <w:pPr>
        <w:spacing w:after="120"/>
      </w:pPr>
      <w:r>
        <w:t xml:space="preserve">La Comisión Administradora queda mandatada para organizar y realizar sorteos mensuales entre los residentes del edificio.</w:t>
      </w:r>
    </w:p>
    <w:p>
      <w:pPr>
        <w:spacing w:after="80"/>
        <w:ind w:left="720"/>
      </w:pPr>
      <w:r>
        <w:t xml:space="preserve">• Premios: 1 uso gratis de barbacoa, 5 lavados gratis de Lavomat (para 5 residentes distintos)</w:t>
      </w:r>
    </w:p>
    <w:p>
      <w:pPr>
        <w:spacing w:after="120"/>
      </w:pPr>
      <w:r>
        <w:t xml:space="preserve">Participantes: Todos los residentes al día con gastos comunes. Inicio: Julio 2026. Método: Web del edificio. Información: Comisión informará con 10 días de anticipación por email (admin@edificiomarinaw.com y administración@baluarte.com.uy), WhatsApp y cartel en ascensor.</w:t>
      </w:r>
    </w:p>
    <w:p>
      <w:pPr>
        <w:spacing w:after="120"/>
      </w:pPr>
      <w:r>
        <w:t xml:space="preserve">Votado por unanimidad.</w:t>
      </w:r>
    </w:p>
    <w:p>
      <w:pPr>
        <w:spacing w:after="120"/>
      </w:pPr>
    </w:p>
    <w:p>
      <w:pPr>
        <w:pStyle w:val="Heading1"/>
        <w:spacing w:after="100" w:before="200"/>
      </w:pPr>
      <w:r>
        <w:t xml:space="preserve">5. VARIOS</w:t>
      </w:r>
    </w:p>
    <w:p>
      <w:pPr>
        <w:spacing w:after="120"/>
      </w:pPr>
      <w:r>
        <w:t xml:space="preserve">No se trataron temas en este punto.</w:t>
      </w:r>
    </w:p>
    <w:p>
      <w:pPr>
        <w:spacing w:after="120"/>
      </w:pPr>
      <w:r>
        <w:t xml:space="preserve">Siendo las 22hs se levanta la sesión. Se designa al Sr. Javier Hernandez a firmar el acta.</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drawing>
        <wp:inline distT="0" distB="0" distL="0" distR="0">
          <wp:extent cx="95250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5250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image" Target="media/81b80e0d788057c10a2293926f75232986a4c487.undefined"/><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1b80e0d788057c10a2293926f75232986a4c487.undefined"/></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2026-06-30T11:22:37.592Z</dcterms:created>
  <dcterms:modified xsi:type="dcterms:W3CDTF">2026-06-30T11:22:37.592Z</dcterms:modified>
</cp:coreProperties>
</file>

<file path=docProps/custom.xml><?xml version="1.0" encoding="utf-8"?>
<Properties xmlns="http://schemas.openxmlformats.org/officeDocument/2006/custom-properties" xmlns:vt="http://schemas.openxmlformats.org/officeDocument/2006/docPropsVTypes"/>
</file>